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3F6" w:rsidRPr="00BF0FEF" w:rsidRDefault="005273F6" w:rsidP="00BF0FEF">
      <w:pPr>
        <w:spacing w:after="0" w:line="360" w:lineRule="auto"/>
        <w:rPr>
          <w:rFonts w:ascii="Times New Roman" w:hAnsi="Times New Roman" w:cs="Times New Roman"/>
          <w:sz w:val="24"/>
          <w:szCs w:val="24"/>
        </w:rPr>
      </w:pPr>
      <w:r w:rsidRPr="00BF0FEF">
        <w:rPr>
          <w:rFonts w:ascii="Times New Roman" w:hAnsi="Times New Roman" w:cs="Times New Roman"/>
          <w:sz w:val="24"/>
          <w:szCs w:val="24"/>
        </w:rPr>
        <w:t xml:space="preserve">Dear </w:t>
      </w:r>
      <w:proofErr w:type="spellStart"/>
      <w:r w:rsidRPr="00BF0FEF">
        <w:rPr>
          <w:rFonts w:ascii="Times New Roman" w:hAnsi="Times New Roman" w:cs="Times New Roman"/>
          <w:sz w:val="24"/>
          <w:szCs w:val="24"/>
        </w:rPr>
        <w:t>Mr.</w:t>
      </w:r>
      <w:proofErr w:type="spellEnd"/>
      <w:r w:rsidRPr="00BF0FEF">
        <w:rPr>
          <w:rFonts w:ascii="Times New Roman" w:hAnsi="Times New Roman" w:cs="Times New Roman"/>
          <w:sz w:val="24"/>
          <w:szCs w:val="24"/>
        </w:rPr>
        <w:t xml:space="preserve"> </w:t>
      </w:r>
      <w:proofErr w:type="spellStart"/>
      <w:r w:rsidRPr="00BF0FEF">
        <w:rPr>
          <w:rFonts w:ascii="Times New Roman" w:hAnsi="Times New Roman" w:cs="Times New Roman"/>
          <w:sz w:val="24"/>
          <w:szCs w:val="24"/>
        </w:rPr>
        <w:t>Cheesworthy</w:t>
      </w:r>
      <w:proofErr w:type="spellEnd"/>
      <w:r w:rsidRPr="00BF0FEF">
        <w:rPr>
          <w:rFonts w:ascii="Times New Roman" w:hAnsi="Times New Roman" w:cs="Times New Roman"/>
          <w:sz w:val="24"/>
          <w:szCs w:val="24"/>
        </w:rPr>
        <w:t xml:space="preserve">, </w:t>
      </w:r>
    </w:p>
    <w:p w:rsidR="005273F6" w:rsidRPr="00BF0FEF" w:rsidRDefault="005273F6" w:rsidP="00BF0FEF">
      <w:pPr>
        <w:spacing w:after="0" w:line="360" w:lineRule="auto"/>
        <w:rPr>
          <w:rFonts w:ascii="Times New Roman" w:hAnsi="Times New Roman" w:cs="Times New Roman"/>
          <w:b/>
          <w:sz w:val="24"/>
          <w:szCs w:val="24"/>
        </w:rPr>
      </w:pPr>
      <w:r w:rsidRPr="00BF0FEF">
        <w:rPr>
          <w:rFonts w:ascii="Times New Roman" w:hAnsi="Times New Roman" w:cs="Times New Roman"/>
          <w:b/>
          <w:sz w:val="24"/>
          <w:szCs w:val="24"/>
        </w:rPr>
        <w:t xml:space="preserve">Re: </w:t>
      </w:r>
      <w:r w:rsidRPr="00BF0FEF">
        <w:rPr>
          <w:rFonts w:ascii="Times New Roman" w:hAnsi="Times New Roman" w:cs="Times New Roman"/>
          <w:b/>
          <w:sz w:val="24"/>
          <w:szCs w:val="24"/>
          <w:u w:val="single"/>
        </w:rPr>
        <w:t xml:space="preserve">Deregistering under the </w:t>
      </w:r>
      <w:r w:rsidRPr="00BF0FEF">
        <w:rPr>
          <w:rFonts w:ascii="Times New Roman" w:hAnsi="Times New Roman" w:cs="Times New Roman"/>
          <w:b/>
          <w:i/>
          <w:sz w:val="24"/>
          <w:szCs w:val="24"/>
          <w:u w:val="single"/>
        </w:rPr>
        <w:t>Foreign Influence Transparency Scheme Act</w:t>
      </w:r>
      <w:r w:rsidRPr="00BF0FEF">
        <w:rPr>
          <w:rFonts w:ascii="Times New Roman" w:hAnsi="Times New Roman" w:cs="Times New Roman"/>
          <w:b/>
          <w:sz w:val="24"/>
          <w:szCs w:val="24"/>
          <w:u w:val="single"/>
        </w:rPr>
        <w:t xml:space="preserve"> of 2018</w:t>
      </w:r>
    </w:p>
    <w:p w:rsidR="00540AB6" w:rsidRDefault="00540AB6" w:rsidP="00BF0FEF">
      <w:pPr>
        <w:pStyle w:val="NormalWeb"/>
        <w:spacing w:before="0" w:beforeAutospacing="0" w:after="0" w:afterAutospacing="0" w:line="360" w:lineRule="auto"/>
        <w:rPr>
          <w:color w:val="0E101A"/>
        </w:rPr>
      </w:pPr>
      <w:r w:rsidRPr="00540AB6">
        <w:rPr>
          <w:color w:val="0E101A"/>
        </w:rPr>
        <w:t>I am writing this letter in response to your concern whether it would be legally right and possible to deregister under the </w:t>
      </w:r>
      <w:r w:rsidRPr="00540AB6">
        <w:rPr>
          <w:rStyle w:val="Emphasis"/>
          <w:color w:val="0E101A"/>
        </w:rPr>
        <w:t>Foreign Influence Transparency Scheme Act 2018</w:t>
      </w:r>
      <w:r w:rsidRPr="00540AB6">
        <w:rPr>
          <w:color w:val="0E101A"/>
        </w:rPr>
        <w:t>. It is clear that you are concerned about the legal ramifications of the decision to deregister under the Act. I want to mention that this Act aimed to make and enhance transparency in foreign principals’ activities in Australia while also advancing their economic activities. Remember, it is the primary responsibility of the government to protect its interests and citizens from any harm, whether political, economic, or social. As such, you need to understand that this Act does not criminalize the legal activities, but instead, it seeks to ensure that all the legal activities undertaken in Australia are undertaken within the transparent and made abundantly clear to the public.</w:t>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Concerning your situation with deregistration under the </w:t>
      </w:r>
      <w:r w:rsidRPr="00540AB6">
        <w:rPr>
          <w:rStyle w:val="Emphasis"/>
          <w:color w:val="0E101A"/>
        </w:rPr>
        <w:t>Foreign Influence Transparency Scheme Act 2018</w:t>
      </w:r>
      <w:r w:rsidRPr="00540AB6">
        <w:rPr>
          <w:color w:val="0E101A"/>
        </w:rPr>
        <w:t>, I wish to advise you that you have the legal right to deregister under the Act because you have ceased to engage or be liable for the foreign principles. Under part 2 of the Act (Registration under the Scheme), it is stated clearly that an individual must register for each foreign principal who they undertake activities on their behalf. You fulfilled this responsibility by registering under the Act early January this year. Under the same section, it states that “registration usually ends if the person notifies the secretary that” he or she has ceased to be responsible for activities of the fore</w:t>
      </w:r>
      <w:r w:rsidR="008F7B01">
        <w:rPr>
          <w:color w:val="0E101A"/>
        </w:rPr>
        <w:t>ign principals</w:t>
      </w:r>
      <w:r w:rsidRPr="00540AB6">
        <w:rPr>
          <w:color w:val="0E101A"/>
        </w:rPr>
        <w:t>.</w:t>
      </w:r>
      <w:r w:rsidR="008F7B01">
        <w:rPr>
          <w:rStyle w:val="FootnoteReference"/>
          <w:color w:val="0E101A"/>
        </w:rPr>
        <w:footnoteReference w:id="1"/>
      </w:r>
      <w:r w:rsidRPr="00540AB6">
        <w:rPr>
          <w:color w:val="0E101A"/>
        </w:rPr>
        <w:t xml:space="preserve"> The Registration under this Act requires that all firms that act on behalf of the foreign principals such as lobbying politicians, running communications, or spending their financial resources on their behalf to secure policy changes are required to register under this Act. Remember, your role was within this group of firms, and that is what informed your Registration in January. However, once you cease or stop working for their foreign principals, it is within your right to discontinue your Registration or renewal of the Registration because you are no longer under the legal obligation of the foreign principals.</w:t>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However, in doing this, you need to be aware of the process and what you need to do. According to part 2 of the </w:t>
      </w:r>
      <w:r w:rsidRPr="00540AB6">
        <w:rPr>
          <w:rStyle w:val="Emphasis"/>
          <w:color w:val="0E101A"/>
        </w:rPr>
        <w:t>Foreign Influence Transparency Scheme Act 2018</w:t>
      </w:r>
      <w:r w:rsidRPr="00540AB6">
        <w:rPr>
          <w:color w:val="0E101A"/>
        </w:rPr>
        <w:t xml:space="preserve">, an individual who acts on </w:t>
      </w:r>
      <w:r w:rsidRPr="00540AB6">
        <w:rPr>
          <w:color w:val="0E101A"/>
        </w:rPr>
        <w:lastRenderedPageBreak/>
        <w:t>behalf of a foreign principal in lobbying the local policies to support the interests of the foreign principal can choose to deregister once they have stopped working for the principal. The process is simple-all you must do is to write a letter of notification to the Secretary informing him or her that you have stopped working with the foreign principal. Remember this notification is like an application of the Registration just the way you did it in January. Therefore, it must conform to the Division 2 section 16 sub-section two, which highlights the application process and content. For example, you will have to make a notification in writing in the approved form. The approved deregistration should be approved, as well. Another important content is that you must include all the relevant and necessary information or be ready to provide documents when needed by the Secretary.</w:t>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Your deregistration is supported under Part 2, Division 2, in section 19, which highlight the necessary information about someone who ceases to act on behalf of foreign policy. Like the registration process, you will need to seek invitation when submitting your deregistration notice as per Section 14(C) of the Act. According to Section 14(C)</w:t>
      </w:r>
      <w:r w:rsidR="008F7B01">
        <w:rPr>
          <w:color w:val="0E101A"/>
        </w:rPr>
        <w:t xml:space="preserve"> </w:t>
      </w:r>
      <w:r w:rsidRPr="00540AB6">
        <w:rPr>
          <w:color w:val="0E101A"/>
        </w:rPr>
        <w:t>(2), one must ensure that the invitation invites him or her to make the submissions wit</w:t>
      </w:r>
      <w:r w:rsidR="008F7B01">
        <w:rPr>
          <w:color w:val="0E101A"/>
        </w:rPr>
        <w:t>hin 14 days</w:t>
      </w:r>
      <w:r w:rsidRPr="00540AB6">
        <w:rPr>
          <w:color w:val="0E101A"/>
        </w:rPr>
        <w:t>.</w:t>
      </w:r>
      <w:r w:rsidR="008F7B01">
        <w:rPr>
          <w:rStyle w:val="FootnoteReference"/>
          <w:color w:val="0E101A"/>
        </w:rPr>
        <w:footnoteReference w:id="2"/>
      </w:r>
      <w:r w:rsidRPr="00540AB6">
        <w:rPr>
          <w:color w:val="0E101A"/>
        </w:rPr>
        <w:t xml:space="preserve"> Also, the submission must be true and reflect the actual events of things. Failure to which, you will be liable to the effects of sections 137.1 and 137.2 of the Criminal Code, which involves repercussions of providing false or misleading information o</w:t>
      </w:r>
      <w:r w:rsidR="008F7B01">
        <w:rPr>
          <w:color w:val="0E101A"/>
        </w:rPr>
        <w:t>r documents</w:t>
      </w:r>
      <w:r w:rsidRPr="00540AB6">
        <w:rPr>
          <w:color w:val="0E101A"/>
        </w:rPr>
        <w:t>.</w:t>
      </w:r>
      <w:r w:rsidR="008F7B01">
        <w:rPr>
          <w:rStyle w:val="FootnoteReference"/>
          <w:color w:val="0E101A"/>
        </w:rPr>
        <w:footnoteReference w:id="3"/>
      </w:r>
      <w:r w:rsidRPr="00540AB6">
        <w:rPr>
          <w:color w:val="0E101A"/>
        </w:rPr>
        <w:t xml:space="preserve"> According to this section 19, a person is said to have stopped or ceased being liable to register under the Scheme if;</w:t>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First, the individual has provided legal notice to the Secretary highlighting his or her decision to end or stop the relationship with the foreig</w:t>
      </w:r>
      <w:r w:rsidR="008F7B01">
        <w:rPr>
          <w:color w:val="0E101A"/>
        </w:rPr>
        <w:t>n principal</w:t>
      </w:r>
      <w:r w:rsidRPr="00540AB6">
        <w:rPr>
          <w:color w:val="0E101A"/>
        </w:rPr>
        <w:t>.</w:t>
      </w:r>
      <w:r w:rsidR="008F7B01">
        <w:rPr>
          <w:rStyle w:val="FootnoteReference"/>
          <w:color w:val="0E101A"/>
        </w:rPr>
        <w:footnoteReference w:id="4"/>
      </w:r>
      <w:r w:rsidRPr="00540AB6">
        <w:rPr>
          <w:color w:val="0E101A"/>
        </w:rPr>
        <w:t xml:space="preserve"> This notification is in line with section 31, which highlight the notice of the end of liability to register. Secondly, such an individual must ensure that he or she does not have an existing </w:t>
      </w:r>
      <w:proofErr w:type="spellStart"/>
      <w:r w:rsidRPr="00540AB6">
        <w:rPr>
          <w:color w:val="0E101A"/>
        </w:rPr>
        <w:t>registrable</w:t>
      </w:r>
      <w:proofErr w:type="spellEnd"/>
      <w:r w:rsidRPr="00540AB6">
        <w:rPr>
          <w:color w:val="0E101A"/>
        </w:rPr>
        <w:t xml:space="preserve"> arrangement or agreement with the foreign principal. I wish to inform you that this second subsection is important and you need to write the notification once you have ensured that you do not have an existing agreement with the foreign principal because it will invalidate your attempt to deregister under the Scheme Act. Also, it is important to note that you must be a registered member for you to give a notice under </w:t>
      </w:r>
      <w:r w:rsidRPr="00540AB6">
        <w:rPr>
          <w:color w:val="0E101A"/>
        </w:rPr>
        <w:lastRenderedPageBreak/>
        <w:t>section 31. Since you registered this January, you don’t have to worry about this section. Let us now look at the process of ending your Registration in detail to ensure that you do it right and in the correct manner.</w:t>
      </w:r>
    </w:p>
    <w:p w:rsidR="00BF0FEF" w:rsidRPr="00540AB6" w:rsidRDefault="00BF0FEF" w:rsidP="00BF0FEF">
      <w:pPr>
        <w:pStyle w:val="NormalWeb"/>
        <w:spacing w:before="0" w:beforeAutospacing="0" w:after="0" w:afterAutospacing="0" w:line="360" w:lineRule="auto"/>
        <w:rPr>
          <w:color w:val="0E101A"/>
        </w:rPr>
      </w:pPr>
    </w:p>
    <w:p w:rsidR="00540AB6" w:rsidRPr="00BF0FEF" w:rsidRDefault="00540AB6" w:rsidP="00BF0FEF">
      <w:pPr>
        <w:pStyle w:val="NormalWeb"/>
        <w:spacing w:before="0" w:beforeAutospacing="0" w:after="0" w:afterAutospacing="0" w:line="360" w:lineRule="auto"/>
        <w:rPr>
          <w:b/>
          <w:color w:val="0E101A"/>
        </w:rPr>
      </w:pPr>
      <w:r w:rsidRPr="00BF0FEF">
        <w:rPr>
          <w:b/>
          <w:color w:val="0E101A"/>
        </w:rPr>
        <w:t>Division 5-End of Registration</w:t>
      </w:r>
    </w:p>
    <w:p w:rsidR="00540AB6" w:rsidRDefault="00540AB6" w:rsidP="00BF0FEF">
      <w:pPr>
        <w:pStyle w:val="NormalWeb"/>
        <w:spacing w:before="0" w:beforeAutospacing="0" w:after="0" w:afterAutospacing="0" w:line="360" w:lineRule="auto"/>
        <w:rPr>
          <w:color w:val="0E101A"/>
        </w:rPr>
      </w:pPr>
      <w:r w:rsidRPr="00540AB6">
        <w:rPr>
          <w:color w:val="0E101A"/>
        </w:rPr>
        <w:t xml:space="preserve">Under this division, section 31, the Scheme provides people who have registered under the Act to withdraw their registration or membership. Section 31 involves notice about ending of liability to register as a principal foreign advocate in the country’s policymaking process. Under sub-section 1, the Act requires that anyone who registered under the Scheme can give the Secretary a notice to end his or her membership under the Scheme. However, this section requires that the individual must be satisfied that he or she has stopped engaging in activities on behalf of the foreign principal and that there is no existing </w:t>
      </w:r>
      <w:proofErr w:type="spellStart"/>
      <w:r w:rsidRPr="00540AB6">
        <w:rPr>
          <w:color w:val="0E101A"/>
        </w:rPr>
        <w:t>registrable</w:t>
      </w:r>
      <w:proofErr w:type="spellEnd"/>
      <w:r w:rsidRPr="00540AB6">
        <w:rPr>
          <w:color w:val="0E101A"/>
        </w:rPr>
        <w:t xml:space="preserve"> agreement with the foreig</w:t>
      </w:r>
      <w:r w:rsidR="008F7B01">
        <w:rPr>
          <w:color w:val="0E101A"/>
        </w:rPr>
        <w:t>n principle</w:t>
      </w:r>
      <w:r w:rsidRPr="00540AB6">
        <w:rPr>
          <w:color w:val="0E101A"/>
        </w:rPr>
        <w:t>.</w:t>
      </w:r>
      <w:r w:rsidR="008F7B01">
        <w:rPr>
          <w:rStyle w:val="FootnoteReference"/>
          <w:color w:val="0E101A"/>
        </w:rPr>
        <w:footnoteReference w:id="5"/>
      </w:r>
      <w:r w:rsidRPr="00540AB6">
        <w:rPr>
          <w:color w:val="0E101A"/>
        </w:rPr>
        <w:t xml:space="preserve"> After giving the Secretary the notice and relevant information to prove that the agreement between the individual with the foreign principal no longer viable, the relationship becomes terminated. Deregistration notice will be given to you the way the registration notification was given to you under Section 14(B). In section 14(B)</w:t>
      </w:r>
      <w:r w:rsidR="008F7B01">
        <w:rPr>
          <w:color w:val="0E101A"/>
        </w:rPr>
        <w:t xml:space="preserve"> </w:t>
      </w:r>
      <w:r w:rsidRPr="00540AB6">
        <w:rPr>
          <w:color w:val="0E101A"/>
        </w:rPr>
        <w:t>(1), the Secretary will give a notice (provisional transparency notice) if satisfied that the individual is a foreign government-related firm or o</w:t>
      </w:r>
      <w:r w:rsidR="008F7B01">
        <w:rPr>
          <w:color w:val="0E101A"/>
        </w:rPr>
        <w:t>rganization</w:t>
      </w:r>
      <w:r w:rsidRPr="00540AB6">
        <w:rPr>
          <w:color w:val="0E101A"/>
        </w:rPr>
        <w:t>.</w:t>
      </w:r>
      <w:r w:rsidR="008F7B01">
        <w:rPr>
          <w:rStyle w:val="FootnoteReference"/>
          <w:color w:val="0E101A"/>
        </w:rPr>
        <w:footnoteReference w:id="6"/>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It is important to understand this section because failure to comply with the requirements may lead to a criminal offence under section 57(A). Apart from following the registration process mentioned above, section 31(3) further include more requirements that you will need to consider. For example, the notice is supposed to be served to the Secretary not earlier than the day the notice is given as indicated in writing and it must not be later than the expected day of the next renewal registration. Failure to give the notice or include the necessary information may result in a criminal offence, as explained below.</w:t>
      </w:r>
    </w:p>
    <w:p w:rsidR="00BF0FEF" w:rsidRPr="00540AB6" w:rsidRDefault="00BF0FEF" w:rsidP="00BF0FEF">
      <w:pPr>
        <w:pStyle w:val="NormalWeb"/>
        <w:spacing w:before="0" w:beforeAutospacing="0" w:after="0" w:afterAutospacing="0" w:line="360" w:lineRule="auto"/>
        <w:rPr>
          <w:color w:val="0E101A"/>
        </w:rPr>
      </w:pPr>
    </w:p>
    <w:p w:rsidR="00540AB6" w:rsidRPr="00BF0FEF" w:rsidRDefault="00540AB6" w:rsidP="00BF0FEF">
      <w:pPr>
        <w:pStyle w:val="NormalWeb"/>
        <w:spacing w:before="0" w:beforeAutospacing="0" w:after="0" w:afterAutospacing="0" w:line="360" w:lineRule="auto"/>
        <w:rPr>
          <w:b/>
          <w:color w:val="0E101A"/>
        </w:rPr>
      </w:pPr>
      <w:r w:rsidRPr="00BF0FEF">
        <w:rPr>
          <w:b/>
          <w:color w:val="0E101A"/>
        </w:rPr>
        <w:t>Liability of Ending Registration</w:t>
      </w:r>
    </w:p>
    <w:p w:rsidR="00540AB6" w:rsidRDefault="00540AB6" w:rsidP="00BF0FEF">
      <w:pPr>
        <w:pStyle w:val="NormalWeb"/>
        <w:spacing w:before="0" w:beforeAutospacing="0" w:after="0" w:afterAutospacing="0" w:line="360" w:lineRule="auto"/>
        <w:rPr>
          <w:color w:val="0E101A"/>
        </w:rPr>
      </w:pPr>
      <w:r w:rsidRPr="00540AB6">
        <w:rPr>
          <w:color w:val="0E101A"/>
        </w:rPr>
        <w:lastRenderedPageBreak/>
        <w:t>As I mentioned before, you are required to provide notice of deregistration which must happen when you no longer have any existing agreement with the foreign principal. You may become liable to a criminal offence if you give the notice to Secretary as per the section 31 to end your liability to register, but, still, you have an existing agreement with the foreign principal you present. Also, you may be liable when you give the notice, and you know that the existing agreement with the foreign principal will be in effect on the day you give notice as explained in section 31(3) of the Act (legislation.gov.au). Furthermore, you can still be liable to a criminal offence if you go ahead to engage in lobbying activities after the day of deregistration notice has been served to the Secretary. The penalty for all these criminal offences if five years as indicated in Section 57(A) about giving notice of the end of liability to register while an individual is still considered liable to register.</w:t>
      </w:r>
    </w:p>
    <w:p w:rsidR="00BF0FEF" w:rsidRPr="00540AB6" w:rsidRDefault="00BF0FEF" w:rsidP="00BF0FEF">
      <w:pPr>
        <w:pStyle w:val="NormalWeb"/>
        <w:spacing w:before="0" w:beforeAutospacing="0" w:after="0" w:afterAutospacing="0" w:line="360" w:lineRule="auto"/>
        <w:rPr>
          <w:color w:val="0E101A"/>
        </w:rPr>
      </w:pPr>
    </w:p>
    <w:p w:rsidR="00540AB6" w:rsidRDefault="00540AB6" w:rsidP="00BF0FEF">
      <w:pPr>
        <w:pStyle w:val="NormalWeb"/>
        <w:spacing w:before="0" w:beforeAutospacing="0" w:after="0" w:afterAutospacing="0" w:line="360" w:lineRule="auto"/>
        <w:rPr>
          <w:color w:val="0E101A"/>
        </w:rPr>
      </w:pPr>
      <w:r w:rsidRPr="00540AB6">
        <w:rPr>
          <w:color w:val="0E101A"/>
        </w:rPr>
        <w:t>Under section 58 of the Act, it also stipulates the liabilities of failing to meet the responsibilities under the Scheme. Remember that when requesting deregistration, you must provide all the needed documents to support your claim that you have stopped or ceased working with the foreign principal. As such, you are required to keep all the records of your transactions with the foreign principal, as indicated in Section 40 of this Scheme Act. However, failure to disclose the information or communicate the required documents may result in 60 penalty units under section 58(1, 2, and 3). Under Section 14(B)(1), the Secretary has the power to request or obtain any information or documents as per Section 46 to assist him or her in clearing the individual as having satisfactorily fulfilled the legal requirements to be given a transparency notice. The same way, the Secretary has the power to request you any information that will help prove that you have ceased working with the foreign principal for you to be given deregistration transparency notice.</w:t>
      </w:r>
    </w:p>
    <w:p w:rsidR="00BF0FEF" w:rsidRPr="00540AB6" w:rsidRDefault="00BF0FEF" w:rsidP="00BF0FEF">
      <w:pPr>
        <w:pStyle w:val="NormalWeb"/>
        <w:spacing w:before="0" w:beforeAutospacing="0" w:after="0" w:afterAutospacing="0" w:line="360" w:lineRule="auto"/>
        <w:rPr>
          <w:color w:val="0E101A"/>
        </w:rPr>
      </w:pPr>
    </w:p>
    <w:p w:rsidR="00540AB6" w:rsidRPr="00540AB6" w:rsidRDefault="00540AB6" w:rsidP="00BF0FEF">
      <w:pPr>
        <w:pStyle w:val="NormalWeb"/>
        <w:spacing w:before="0" w:beforeAutospacing="0" w:after="0" w:afterAutospacing="0" w:line="360" w:lineRule="auto"/>
        <w:rPr>
          <w:color w:val="0E101A"/>
        </w:rPr>
      </w:pPr>
      <w:r w:rsidRPr="00540AB6">
        <w:rPr>
          <w:color w:val="0E101A"/>
        </w:rPr>
        <w:t>I hope that this information is useful and helpful to your quest to deregister under the </w:t>
      </w:r>
      <w:r w:rsidRPr="00540AB6">
        <w:rPr>
          <w:rStyle w:val="Emphasis"/>
          <w:color w:val="0E101A"/>
        </w:rPr>
        <w:t>Foreign Influence Transparency Scheme Act 2018</w:t>
      </w:r>
      <w:r w:rsidRPr="00540AB6">
        <w:rPr>
          <w:color w:val="0E101A"/>
        </w:rPr>
        <w:t>. If you would like to discuss the above with an expert in detail or any other concern, you can reach my office through telephone number 1800145317 from Monday to Friday between 9 am to 5 pm.</w:t>
      </w:r>
    </w:p>
    <w:p w:rsidR="00540AB6" w:rsidRPr="00540AB6" w:rsidRDefault="00540AB6" w:rsidP="00BF0FEF">
      <w:pPr>
        <w:spacing w:after="0" w:line="360" w:lineRule="auto"/>
        <w:rPr>
          <w:rFonts w:ascii="Times New Roman" w:hAnsi="Times New Roman" w:cs="Times New Roman"/>
          <w:sz w:val="24"/>
          <w:szCs w:val="24"/>
        </w:rPr>
      </w:pPr>
    </w:p>
    <w:p w:rsidR="00540AB6" w:rsidRPr="00540AB6" w:rsidRDefault="00540AB6" w:rsidP="00BF0FEF">
      <w:pPr>
        <w:spacing w:after="0" w:line="360" w:lineRule="auto"/>
        <w:rPr>
          <w:rFonts w:ascii="Times New Roman" w:hAnsi="Times New Roman" w:cs="Times New Roman"/>
          <w:sz w:val="24"/>
          <w:szCs w:val="24"/>
        </w:rPr>
      </w:pPr>
      <w:r w:rsidRPr="00540AB6">
        <w:rPr>
          <w:rFonts w:ascii="Times New Roman" w:hAnsi="Times New Roman" w:cs="Times New Roman"/>
          <w:sz w:val="24"/>
          <w:szCs w:val="24"/>
        </w:rPr>
        <w:t xml:space="preserve">Sincerely, </w:t>
      </w:r>
    </w:p>
    <w:p w:rsidR="00540AB6" w:rsidRPr="00540AB6" w:rsidRDefault="00540AB6" w:rsidP="00BF0FEF">
      <w:pPr>
        <w:spacing w:after="0" w:line="360" w:lineRule="auto"/>
        <w:rPr>
          <w:rFonts w:ascii="Times New Roman" w:hAnsi="Times New Roman" w:cs="Times New Roman"/>
          <w:sz w:val="24"/>
          <w:szCs w:val="24"/>
        </w:rPr>
      </w:pPr>
      <w:r w:rsidRPr="00540AB6">
        <w:rPr>
          <w:rFonts w:ascii="Times New Roman" w:hAnsi="Times New Roman" w:cs="Times New Roman"/>
          <w:sz w:val="24"/>
          <w:szCs w:val="24"/>
        </w:rPr>
        <w:lastRenderedPageBreak/>
        <w:t>(Name)</w:t>
      </w:r>
    </w:p>
    <w:p w:rsidR="00540AB6" w:rsidRDefault="00540AB6" w:rsidP="00BF0FEF">
      <w:pPr>
        <w:spacing w:after="0" w:line="360" w:lineRule="auto"/>
        <w:rPr>
          <w:rFonts w:ascii="Times New Roman" w:hAnsi="Times New Roman" w:cs="Times New Roman"/>
          <w:sz w:val="24"/>
          <w:szCs w:val="24"/>
        </w:rPr>
      </w:pPr>
      <w:proofErr w:type="spellStart"/>
      <w:r w:rsidRPr="00540AB6">
        <w:rPr>
          <w:rFonts w:ascii="Times New Roman" w:hAnsi="Times New Roman" w:cs="Times New Roman"/>
          <w:sz w:val="24"/>
          <w:szCs w:val="24"/>
        </w:rPr>
        <w:t>Allens</w:t>
      </w:r>
      <w:proofErr w:type="spellEnd"/>
      <w:r w:rsidRPr="00540AB6">
        <w:rPr>
          <w:rFonts w:ascii="Times New Roman" w:hAnsi="Times New Roman" w:cs="Times New Roman"/>
          <w:sz w:val="24"/>
          <w:szCs w:val="24"/>
        </w:rPr>
        <w:t xml:space="preserve"> Sydney Communication Strategist </w:t>
      </w: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p>
    <w:p w:rsidR="006825EC" w:rsidRDefault="006825EC" w:rsidP="00BF0FEF">
      <w:pPr>
        <w:spacing w:after="0" w:line="360" w:lineRule="auto"/>
        <w:rPr>
          <w:rFonts w:ascii="Times New Roman" w:hAnsi="Times New Roman" w:cs="Times New Roman"/>
          <w:sz w:val="24"/>
          <w:szCs w:val="24"/>
        </w:rPr>
      </w:pPr>
      <w:bookmarkStart w:id="0" w:name="_GoBack"/>
      <w:bookmarkEnd w:id="0"/>
    </w:p>
    <w:p w:rsidR="006825EC" w:rsidRDefault="006825EC" w:rsidP="00BF0FEF">
      <w:pPr>
        <w:spacing w:after="0" w:line="360" w:lineRule="auto"/>
        <w:rPr>
          <w:rFonts w:ascii="Times New Roman" w:hAnsi="Times New Roman" w:cs="Times New Roman"/>
          <w:sz w:val="24"/>
          <w:szCs w:val="24"/>
        </w:rPr>
      </w:pPr>
    </w:p>
    <w:p w:rsidR="006825EC" w:rsidRDefault="006825EC" w:rsidP="006825EC">
      <w:pPr>
        <w:spacing w:after="0" w:line="360" w:lineRule="auto"/>
        <w:ind w:left="720" w:hanging="720"/>
        <w:jc w:val="center"/>
        <w:rPr>
          <w:rFonts w:ascii="Times New Roman" w:hAnsi="Times New Roman" w:cs="Times New Roman"/>
          <w:sz w:val="24"/>
          <w:szCs w:val="24"/>
        </w:rPr>
      </w:pPr>
      <w:r w:rsidRPr="006825EC">
        <w:rPr>
          <w:rFonts w:ascii="Times New Roman" w:hAnsi="Times New Roman" w:cs="Times New Roman"/>
          <w:sz w:val="24"/>
          <w:szCs w:val="24"/>
        </w:rPr>
        <w:lastRenderedPageBreak/>
        <w:t>Bibliography</w:t>
      </w:r>
    </w:p>
    <w:p w:rsidR="006825EC" w:rsidRPr="006825EC" w:rsidRDefault="006825EC" w:rsidP="006825EC">
      <w:pPr>
        <w:spacing w:after="0" w:line="360" w:lineRule="auto"/>
        <w:ind w:left="720" w:hanging="720"/>
        <w:rPr>
          <w:rFonts w:ascii="Times New Roman" w:hAnsi="Times New Roman" w:cs="Times New Roman"/>
          <w:sz w:val="24"/>
          <w:szCs w:val="24"/>
        </w:rPr>
      </w:pPr>
      <w:proofErr w:type="gramStart"/>
      <w:r w:rsidRPr="006825EC">
        <w:rPr>
          <w:rFonts w:ascii="Times New Roman" w:hAnsi="Times New Roman" w:cs="Times New Roman"/>
          <w:sz w:val="24"/>
          <w:szCs w:val="24"/>
        </w:rPr>
        <w:t>Federal Register of Legislation.</w:t>
      </w:r>
      <w:proofErr w:type="gramEnd"/>
      <w:r w:rsidRPr="006825EC">
        <w:rPr>
          <w:rFonts w:ascii="Times New Roman" w:hAnsi="Times New Roman" w:cs="Times New Roman"/>
          <w:sz w:val="24"/>
          <w:szCs w:val="24"/>
        </w:rPr>
        <w:t xml:space="preserve"> </w:t>
      </w:r>
      <w:proofErr w:type="gramStart"/>
      <w:r w:rsidRPr="006825EC">
        <w:rPr>
          <w:rFonts w:ascii="Times New Roman" w:hAnsi="Times New Roman" w:cs="Times New Roman"/>
          <w:i/>
          <w:sz w:val="24"/>
          <w:szCs w:val="24"/>
        </w:rPr>
        <w:t>Foreign Influence Transparency Scheme Act 2018</w:t>
      </w:r>
      <w:r w:rsidRPr="006825EC">
        <w:rPr>
          <w:rFonts w:ascii="Times New Roman" w:hAnsi="Times New Roman" w:cs="Times New Roman"/>
          <w:sz w:val="24"/>
          <w:szCs w:val="24"/>
        </w:rPr>
        <w:t>.</w:t>
      </w:r>
      <w:proofErr w:type="gramEnd"/>
      <w:r w:rsidRPr="006825EC">
        <w:rPr>
          <w:rFonts w:ascii="Times New Roman" w:hAnsi="Times New Roman" w:cs="Times New Roman"/>
          <w:sz w:val="24"/>
          <w:szCs w:val="24"/>
        </w:rPr>
        <w:t xml:space="preserve"> Australian Government, 27 June, 2018. Accessed October 18, 2020 from https://www.legislation.gov.au/Details/C2018A00063</w:t>
      </w:r>
    </w:p>
    <w:p w:rsidR="006825EC" w:rsidRPr="006825EC" w:rsidRDefault="006825EC" w:rsidP="006825EC">
      <w:pPr>
        <w:spacing w:after="0" w:line="360" w:lineRule="auto"/>
        <w:ind w:left="720" w:hanging="720"/>
        <w:rPr>
          <w:rFonts w:ascii="Times New Roman" w:hAnsi="Times New Roman" w:cs="Times New Roman"/>
          <w:sz w:val="24"/>
          <w:szCs w:val="24"/>
        </w:rPr>
      </w:pPr>
    </w:p>
    <w:sectPr w:rsidR="006825EC" w:rsidRPr="006825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9AA" w:rsidRDefault="005279AA" w:rsidP="007A464A">
      <w:pPr>
        <w:spacing w:after="0" w:line="240" w:lineRule="auto"/>
      </w:pPr>
      <w:r>
        <w:separator/>
      </w:r>
    </w:p>
  </w:endnote>
  <w:endnote w:type="continuationSeparator" w:id="0">
    <w:p w:rsidR="005279AA" w:rsidRDefault="005279AA" w:rsidP="007A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9AA" w:rsidRDefault="005279AA" w:rsidP="007A464A">
      <w:pPr>
        <w:spacing w:after="0" w:line="240" w:lineRule="auto"/>
      </w:pPr>
      <w:r>
        <w:separator/>
      </w:r>
    </w:p>
  </w:footnote>
  <w:footnote w:type="continuationSeparator" w:id="0">
    <w:p w:rsidR="005279AA" w:rsidRDefault="005279AA" w:rsidP="007A464A">
      <w:pPr>
        <w:spacing w:after="0" w:line="240" w:lineRule="auto"/>
      </w:pPr>
      <w:r>
        <w:continuationSeparator/>
      </w:r>
    </w:p>
  </w:footnote>
  <w:footnote w:id="1">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proofErr w:type="gramStart"/>
      <w:r w:rsidRPr="008F7B01">
        <w:rPr>
          <w:rFonts w:ascii="Arial" w:hAnsi="Arial" w:cs="Arial"/>
        </w:rPr>
        <w:t>Federal Register of Legislation.</w:t>
      </w:r>
      <w:proofErr w:type="gramEnd"/>
      <w:r w:rsidRPr="008F7B01">
        <w:rPr>
          <w:rFonts w:ascii="Arial" w:hAnsi="Arial" w:cs="Arial"/>
        </w:rPr>
        <w:t xml:space="preserve"> </w:t>
      </w:r>
      <w:proofErr w:type="gramStart"/>
      <w:r w:rsidRPr="008F7B01">
        <w:rPr>
          <w:rFonts w:ascii="Arial" w:hAnsi="Arial" w:cs="Arial"/>
          <w:i/>
        </w:rPr>
        <w:t>Foreign Influence Transparency Scheme Act 2018</w:t>
      </w:r>
      <w:r w:rsidRPr="008F7B01">
        <w:rPr>
          <w:rFonts w:ascii="Arial" w:hAnsi="Arial" w:cs="Arial"/>
        </w:rPr>
        <w:t>.</w:t>
      </w:r>
      <w:proofErr w:type="gramEnd"/>
      <w:r w:rsidRPr="008F7B01">
        <w:rPr>
          <w:rFonts w:ascii="Arial" w:hAnsi="Arial" w:cs="Arial"/>
        </w:rPr>
        <w:t xml:space="preserve"> Australian Government, 27 June, 2018.</w:t>
      </w:r>
    </w:p>
  </w:footnote>
  <w:footnote w:id="2">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r w:rsidRPr="008F7B01">
        <w:rPr>
          <w:rFonts w:ascii="Arial" w:hAnsi="Arial" w:cs="Arial"/>
          <w:lang w:val="en-US"/>
        </w:rPr>
        <w:t>Ibid., p. 2</w:t>
      </w:r>
    </w:p>
  </w:footnote>
  <w:footnote w:id="3">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r w:rsidRPr="008F7B01">
        <w:rPr>
          <w:rFonts w:ascii="Arial" w:hAnsi="Arial" w:cs="Arial"/>
          <w:lang w:val="en-US"/>
        </w:rPr>
        <w:t>Ibid.</w:t>
      </w:r>
    </w:p>
  </w:footnote>
  <w:footnote w:id="4">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r w:rsidRPr="008F7B01">
        <w:rPr>
          <w:rFonts w:ascii="Arial" w:hAnsi="Arial" w:cs="Arial"/>
          <w:lang w:val="en-US"/>
        </w:rPr>
        <w:t>Ibid.</w:t>
      </w:r>
    </w:p>
  </w:footnote>
  <w:footnote w:id="5">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r w:rsidRPr="008F7B01">
        <w:rPr>
          <w:rFonts w:ascii="Arial" w:hAnsi="Arial" w:cs="Arial"/>
          <w:lang w:val="en-US"/>
        </w:rPr>
        <w:t>Ibid.</w:t>
      </w:r>
    </w:p>
  </w:footnote>
  <w:footnote w:id="6">
    <w:p w:rsidR="008F7B01" w:rsidRPr="008F7B01" w:rsidRDefault="008F7B01" w:rsidP="008F7B01">
      <w:pPr>
        <w:pStyle w:val="FootnoteText"/>
        <w:rPr>
          <w:rFonts w:ascii="Arial" w:hAnsi="Arial" w:cs="Arial"/>
          <w:lang w:val="en-US"/>
        </w:rPr>
      </w:pPr>
      <w:r w:rsidRPr="008F7B01">
        <w:rPr>
          <w:rStyle w:val="FootnoteReference"/>
          <w:rFonts w:ascii="Arial" w:hAnsi="Arial" w:cs="Arial"/>
        </w:rPr>
        <w:footnoteRef/>
      </w:r>
      <w:r w:rsidRPr="008F7B01">
        <w:rPr>
          <w:rFonts w:ascii="Arial" w:hAnsi="Arial" w:cs="Arial"/>
        </w:rPr>
        <w:t xml:space="preserve"> </w:t>
      </w:r>
      <w:r w:rsidRPr="008F7B01">
        <w:rPr>
          <w:rFonts w:ascii="Arial" w:hAnsi="Arial" w:cs="Arial"/>
          <w:lang w:val="en-US"/>
        </w:rPr>
        <w:t>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64A" w:rsidRDefault="007A4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F6"/>
    <w:rsid w:val="001F5D18"/>
    <w:rsid w:val="00297100"/>
    <w:rsid w:val="004A3923"/>
    <w:rsid w:val="005273F6"/>
    <w:rsid w:val="005279AA"/>
    <w:rsid w:val="00540AB6"/>
    <w:rsid w:val="005935B4"/>
    <w:rsid w:val="006825EC"/>
    <w:rsid w:val="007A464A"/>
    <w:rsid w:val="00827906"/>
    <w:rsid w:val="008F7B01"/>
    <w:rsid w:val="009D0522"/>
    <w:rsid w:val="00BF0FEF"/>
    <w:rsid w:val="00CD11F1"/>
    <w:rsid w:val="00DE6E67"/>
    <w:rsid w:val="00E35706"/>
    <w:rsid w:val="00F44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A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0AB6"/>
    <w:rPr>
      <w:i/>
      <w:iCs/>
    </w:rPr>
  </w:style>
  <w:style w:type="paragraph" w:styleId="Header">
    <w:name w:val="header"/>
    <w:basedOn w:val="Normal"/>
    <w:link w:val="HeaderChar"/>
    <w:uiPriority w:val="99"/>
    <w:unhideWhenUsed/>
    <w:rsid w:val="007A4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64A"/>
  </w:style>
  <w:style w:type="paragraph" w:styleId="Footer">
    <w:name w:val="footer"/>
    <w:basedOn w:val="Normal"/>
    <w:link w:val="FooterChar"/>
    <w:uiPriority w:val="99"/>
    <w:unhideWhenUsed/>
    <w:rsid w:val="007A4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64A"/>
  </w:style>
  <w:style w:type="paragraph" w:styleId="FootnoteText">
    <w:name w:val="footnote text"/>
    <w:basedOn w:val="Normal"/>
    <w:link w:val="FootnoteTextChar"/>
    <w:uiPriority w:val="99"/>
    <w:semiHidden/>
    <w:unhideWhenUsed/>
    <w:rsid w:val="008F7B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7B01"/>
    <w:rPr>
      <w:sz w:val="20"/>
      <w:szCs w:val="20"/>
    </w:rPr>
  </w:style>
  <w:style w:type="character" w:styleId="FootnoteReference">
    <w:name w:val="footnote reference"/>
    <w:basedOn w:val="DefaultParagraphFont"/>
    <w:uiPriority w:val="99"/>
    <w:semiHidden/>
    <w:unhideWhenUsed/>
    <w:rsid w:val="008F7B0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A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0AB6"/>
    <w:rPr>
      <w:i/>
      <w:iCs/>
    </w:rPr>
  </w:style>
  <w:style w:type="paragraph" w:styleId="Header">
    <w:name w:val="header"/>
    <w:basedOn w:val="Normal"/>
    <w:link w:val="HeaderChar"/>
    <w:uiPriority w:val="99"/>
    <w:unhideWhenUsed/>
    <w:rsid w:val="007A4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64A"/>
  </w:style>
  <w:style w:type="paragraph" w:styleId="Footer">
    <w:name w:val="footer"/>
    <w:basedOn w:val="Normal"/>
    <w:link w:val="FooterChar"/>
    <w:uiPriority w:val="99"/>
    <w:unhideWhenUsed/>
    <w:rsid w:val="007A4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64A"/>
  </w:style>
  <w:style w:type="paragraph" w:styleId="FootnoteText">
    <w:name w:val="footnote text"/>
    <w:basedOn w:val="Normal"/>
    <w:link w:val="FootnoteTextChar"/>
    <w:uiPriority w:val="99"/>
    <w:semiHidden/>
    <w:unhideWhenUsed/>
    <w:rsid w:val="008F7B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7B01"/>
    <w:rPr>
      <w:sz w:val="20"/>
      <w:szCs w:val="20"/>
    </w:rPr>
  </w:style>
  <w:style w:type="character" w:styleId="FootnoteReference">
    <w:name w:val="footnote reference"/>
    <w:basedOn w:val="DefaultParagraphFont"/>
    <w:uiPriority w:val="99"/>
    <w:semiHidden/>
    <w:unhideWhenUsed/>
    <w:rsid w:val="008F7B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31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AA6FB-C5DF-444A-A5F2-D2F496E8E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2020-10-18T15:56:00Z</dcterms:created>
  <dcterms:modified xsi:type="dcterms:W3CDTF">2020-10-18T16:24:00Z</dcterms:modified>
</cp:coreProperties>
</file>